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spacing w:before="480" w:after="240"/>
        <w:rPr>
          <w:rFonts w:ascii="仿宋" w:hAnsi="仿宋" w:eastAsia="仿宋"/>
          <w:sz w:val="36"/>
          <w:szCs w:val="36"/>
        </w:rPr>
      </w:pPr>
      <w:bookmarkStart w:id="0" w:name="_GoBack"/>
      <w:r>
        <w:rPr>
          <w:rFonts w:hint="eastAsia" w:ascii="仿宋" w:hAnsi="仿宋" w:eastAsia="仿宋"/>
          <w:sz w:val="36"/>
          <w:szCs w:val="36"/>
        </w:rPr>
        <w:t>国际数字地球学会中国国家委员会激光雷达专委会全国激光雷达优秀博士学位论文奖评选条例</w:t>
      </w:r>
      <w:bookmarkEnd w:id="0"/>
    </w:p>
    <w:p>
      <w:pPr>
        <w:pStyle w:val="2"/>
      </w:pPr>
      <w:r>
        <w:rPr>
          <w:rFonts w:hint="eastAsia"/>
        </w:rPr>
        <w:t>第一章 总则</w:t>
      </w:r>
    </w:p>
    <w:p>
      <w:pPr>
        <w:spacing w:line="480" w:lineRule="exact"/>
        <w:ind w:firstLine="560" w:firstLineChars="200"/>
        <w:rPr>
          <w:rFonts w:ascii="仿宋" w:hAnsi="仿宋" w:eastAsia="仿宋"/>
          <w:sz w:val="28"/>
          <w:szCs w:val="32"/>
        </w:rPr>
      </w:pPr>
      <w:r>
        <w:rPr>
          <w:rFonts w:hint="eastAsia" w:ascii="仿宋" w:hAnsi="仿宋" w:eastAsia="仿宋"/>
          <w:sz w:val="28"/>
          <w:szCs w:val="32"/>
        </w:rPr>
        <w:t>为推动我国激光雷达领域的科技进步，鼓励创新性研究，促进青年人才成长，国际数字地球学会中国国家委员会激光雷达专业委员会（以下简称专委会，英文简称CNISDE-LiDAR）设立全国优秀博士学位论文奖（以下简称“C</w:t>
      </w:r>
      <w:r>
        <w:rPr>
          <w:rFonts w:ascii="仿宋" w:hAnsi="仿宋" w:eastAsia="仿宋"/>
          <w:sz w:val="28"/>
          <w:szCs w:val="32"/>
        </w:rPr>
        <w:t>NISDE-LiDAR</w:t>
      </w:r>
      <w:r>
        <w:rPr>
          <w:rFonts w:hint="eastAsia" w:ascii="仿宋" w:hAnsi="仿宋" w:eastAsia="仿宋"/>
          <w:sz w:val="28"/>
          <w:szCs w:val="32"/>
        </w:rPr>
        <w:t>优博奖”），参考国内相关优秀</w:t>
      </w:r>
      <w:r>
        <w:rPr>
          <w:rFonts w:ascii="仿宋" w:hAnsi="仿宋" w:eastAsia="仿宋"/>
          <w:sz w:val="28"/>
          <w:szCs w:val="32"/>
        </w:rPr>
        <w:t>博士论文奖励办法</w:t>
      </w:r>
      <w:r>
        <w:rPr>
          <w:rFonts w:hint="eastAsia" w:ascii="仿宋" w:hAnsi="仿宋" w:eastAsia="仿宋"/>
          <w:sz w:val="28"/>
          <w:szCs w:val="32"/>
        </w:rPr>
        <w:t>制定本条例。本奖项授予在激光雷达及其相关领域的基础理论或应用基础研究方面有重要突破，或在关键技术和应用技术方面有重要创新的国内激光雷达领域博士学位论文的作者。</w:t>
      </w:r>
    </w:p>
    <w:p>
      <w:pPr>
        <w:spacing w:line="480" w:lineRule="exact"/>
        <w:ind w:firstLine="560" w:firstLineChars="200"/>
        <w:rPr>
          <w:rFonts w:ascii="仿宋" w:hAnsi="仿宋" w:eastAsia="仿宋"/>
          <w:sz w:val="28"/>
          <w:szCs w:val="32"/>
        </w:rPr>
      </w:pPr>
      <w:r>
        <w:rPr>
          <w:rFonts w:hint="eastAsia" w:ascii="仿宋" w:hAnsi="仿宋" w:eastAsia="仿宋"/>
          <w:sz w:val="28"/>
          <w:szCs w:val="32"/>
        </w:rPr>
        <w:t>本条例适用于C</w:t>
      </w:r>
      <w:r>
        <w:rPr>
          <w:rFonts w:ascii="仿宋" w:hAnsi="仿宋" w:eastAsia="仿宋"/>
          <w:sz w:val="28"/>
          <w:szCs w:val="32"/>
        </w:rPr>
        <w:t>NISDE-L</w:t>
      </w:r>
      <w:r>
        <w:rPr>
          <w:rFonts w:hint="eastAsia" w:ascii="仿宋" w:hAnsi="仿宋" w:eastAsia="仿宋"/>
          <w:sz w:val="28"/>
          <w:szCs w:val="32"/>
        </w:rPr>
        <w:t>i</w:t>
      </w:r>
      <w:r>
        <w:rPr>
          <w:rFonts w:ascii="仿宋" w:hAnsi="仿宋" w:eastAsia="仿宋"/>
          <w:sz w:val="28"/>
          <w:szCs w:val="32"/>
        </w:rPr>
        <w:t>DAR</w:t>
      </w:r>
      <w:r>
        <w:rPr>
          <w:rFonts w:hint="eastAsia" w:ascii="仿宋" w:hAnsi="仿宋" w:eastAsia="仿宋"/>
          <w:sz w:val="28"/>
          <w:szCs w:val="32"/>
        </w:rPr>
        <w:t>优博奖的推荐、评审和授奖等各项工作。</w:t>
      </w:r>
    </w:p>
    <w:p>
      <w:pPr>
        <w:pStyle w:val="2"/>
      </w:pPr>
      <w:r>
        <w:rPr>
          <w:rFonts w:hint="eastAsia"/>
        </w:rPr>
        <w:t>第二章 推荐要求和奖励范围</w:t>
      </w:r>
    </w:p>
    <w:p>
      <w:pPr>
        <w:spacing w:line="480" w:lineRule="exact"/>
        <w:ind w:firstLine="560" w:firstLineChars="200"/>
        <w:rPr>
          <w:rFonts w:ascii="仿宋" w:hAnsi="仿宋" w:eastAsia="仿宋"/>
          <w:sz w:val="28"/>
          <w:szCs w:val="32"/>
        </w:rPr>
      </w:pPr>
      <w:r>
        <w:rPr>
          <w:rFonts w:hint="eastAsia" w:ascii="仿宋" w:hAnsi="仿宋" w:eastAsia="仿宋"/>
          <w:sz w:val="28"/>
          <w:szCs w:val="32"/>
        </w:rPr>
        <w:t>C</w:t>
      </w:r>
      <w:r>
        <w:rPr>
          <w:rFonts w:ascii="仿宋" w:hAnsi="仿宋" w:eastAsia="仿宋"/>
          <w:sz w:val="28"/>
          <w:szCs w:val="32"/>
        </w:rPr>
        <w:t>NISDE-L</w:t>
      </w:r>
      <w:r>
        <w:rPr>
          <w:rFonts w:hint="eastAsia" w:ascii="仿宋" w:hAnsi="仿宋" w:eastAsia="仿宋"/>
          <w:sz w:val="28"/>
          <w:szCs w:val="32"/>
        </w:rPr>
        <w:t>i</w:t>
      </w:r>
      <w:r>
        <w:rPr>
          <w:rFonts w:ascii="仿宋" w:hAnsi="仿宋" w:eastAsia="仿宋"/>
          <w:sz w:val="28"/>
          <w:szCs w:val="32"/>
        </w:rPr>
        <w:t>DAR</w:t>
      </w:r>
      <w:r>
        <w:rPr>
          <w:rFonts w:hint="eastAsia" w:ascii="仿宋" w:hAnsi="仿宋" w:eastAsia="仿宋"/>
          <w:sz w:val="28"/>
          <w:szCs w:val="32"/>
        </w:rPr>
        <w:t>优博奖实行单位推荐制，具有独立法人的从事激光雷达研究的高校和科研机构，以及从事激光雷达研发、生产、应用和推广的企业和机构均可推荐。</w:t>
      </w:r>
    </w:p>
    <w:p>
      <w:pPr>
        <w:spacing w:line="480" w:lineRule="exact"/>
        <w:ind w:firstLine="560" w:firstLineChars="200"/>
        <w:rPr>
          <w:rFonts w:ascii="仿宋" w:hAnsi="仿宋" w:eastAsia="仿宋"/>
          <w:sz w:val="28"/>
          <w:szCs w:val="32"/>
        </w:rPr>
      </w:pPr>
      <w:r>
        <w:rPr>
          <w:rFonts w:hint="eastAsia" w:ascii="仿宋" w:hAnsi="仿宋" w:eastAsia="仿宋"/>
          <w:sz w:val="28"/>
          <w:szCs w:val="32"/>
        </w:rPr>
        <w:t>参加C</w:t>
      </w:r>
      <w:r>
        <w:rPr>
          <w:rFonts w:ascii="仿宋" w:hAnsi="仿宋" w:eastAsia="仿宋"/>
          <w:sz w:val="28"/>
          <w:szCs w:val="32"/>
        </w:rPr>
        <w:t>NISDE-L</w:t>
      </w:r>
      <w:r>
        <w:rPr>
          <w:rFonts w:hint="eastAsia" w:ascii="仿宋" w:hAnsi="仿宋" w:eastAsia="仿宋"/>
          <w:sz w:val="28"/>
          <w:szCs w:val="32"/>
        </w:rPr>
        <w:t>iDAR优博奖评选应具备以下条件：</w:t>
      </w:r>
    </w:p>
    <w:p>
      <w:pPr>
        <w:spacing w:line="480" w:lineRule="exact"/>
        <w:ind w:firstLine="560" w:firstLineChars="200"/>
        <w:rPr>
          <w:rFonts w:ascii="仿宋" w:hAnsi="仿宋" w:eastAsia="仿宋"/>
          <w:sz w:val="28"/>
          <w:szCs w:val="32"/>
        </w:rPr>
      </w:pPr>
      <w:r>
        <w:rPr>
          <w:rFonts w:hint="eastAsia" w:ascii="仿宋" w:hAnsi="仿宋" w:eastAsia="仿宋"/>
          <w:sz w:val="28"/>
          <w:szCs w:val="32"/>
        </w:rPr>
        <w:t>（1）论文作者在攻读博士学位期间，在激光雷达及相关领域的基础理论或应用研究中取得重要成果，或在关键技术或应用技术创新等方面成果显著；</w:t>
      </w:r>
    </w:p>
    <w:p>
      <w:pPr>
        <w:spacing w:line="480" w:lineRule="exact"/>
        <w:ind w:firstLine="560" w:firstLineChars="200"/>
        <w:rPr>
          <w:rFonts w:ascii="仿宋" w:hAnsi="仿宋" w:eastAsia="仿宋"/>
          <w:sz w:val="28"/>
          <w:szCs w:val="32"/>
        </w:rPr>
      </w:pPr>
      <w:r>
        <w:rPr>
          <w:rFonts w:hint="eastAsia" w:ascii="仿宋" w:hAnsi="仿宋" w:eastAsia="仿宋"/>
          <w:sz w:val="28"/>
          <w:szCs w:val="32"/>
        </w:rPr>
        <w:t>（2）论文作者在申报受理日期之前的两年内获得博士学位。</w:t>
      </w:r>
    </w:p>
    <w:p>
      <w:pPr>
        <w:pStyle w:val="2"/>
        <w:spacing w:before="240"/>
      </w:pPr>
      <w:r>
        <w:rPr>
          <w:rFonts w:hint="eastAsia"/>
        </w:rPr>
        <w:t>第三章 评选标准和评定程序</w:t>
      </w:r>
    </w:p>
    <w:p>
      <w:pPr>
        <w:spacing w:line="480" w:lineRule="exact"/>
        <w:ind w:firstLine="560" w:firstLineChars="200"/>
        <w:rPr>
          <w:rFonts w:ascii="仿宋" w:hAnsi="仿宋" w:eastAsia="仿宋"/>
          <w:sz w:val="28"/>
          <w:szCs w:val="32"/>
        </w:rPr>
      </w:pPr>
      <w:r>
        <w:rPr>
          <w:rFonts w:hint="eastAsia" w:ascii="仿宋" w:hAnsi="仿宋" w:eastAsia="仿宋"/>
          <w:sz w:val="28"/>
          <w:szCs w:val="32"/>
        </w:rPr>
        <w:t>C</w:t>
      </w:r>
      <w:r>
        <w:rPr>
          <w:rFonts w:ascii="仿宋" w:hAnsi="仿宋" w:eastAsia="仿宋"/>
          <w:sz w:val="28"/>
          <w:szCs w:val="32"/>
        </w:rPr>
        <w:t>NISDE-L</w:t>
      </w:r>
      <w:r>
        <w:rPr>
          <w:rFonts w:hint="eastAsia" w:ascii="仿宋" w:hAnsi="仿宋" w:eastAsia="仿宋"/>
          <w:sz w:val="28"/>
          <w:szCs w:val="32"/>
        </w:rPr>
        <w:t>i</w:t>
      </w:r>
      <w:r>
        <w:rPr>
          <w:rFonts w:ascii="仿宋" w:hAnsi="仿宋" w:eastAsia="仿宋"/>
          <w:sz w:val="28"/>
          <w:szCs w:val="32"/>
        </w:rPr>
        <w:t>DAR</w:t>
      </w:r>
      <w:r>
        <w:rPr>
          <w:rFonts w:hint="eastAsia" w:ascii="仿宋" w:hAnsi="仿宋" w:eastAsia="仿宋"/>
          <w:sz w:val="28"/>
          <w:szCs w:val="32"/>
        </w:rPr>
        <w:t>优博奖的评选标准为：</w:t>
      </w:r>
    </w:p>
    <w:p>
      <w:pPr>
        <w:spacing w:line="480" w:lineRule="exact"/>
        <w:ind w:firstLine="560" w:firstLineChars="200"/>
        <w:rPr>
          <w:rFonts w:ascii="仿宋" w:hAnsi="仿宋" w:eastAsia="仿宋"/>
          <w:sz w:val="28"/>
          <w:szCs w:val="32"/>
        </w:rPr>
      </w:pPr>
      <w:r>
        <w:rPr>
          <w:rFonts w:hint="eastAsia" w:ascii="仿宋" w:hAnsi="仿宋" w:eastAsia="仿宋"/>
          <w:sz w:val="28"/>
          <w:szCs w:val="32"/>
        </w:rPr>
        <w:t>（1）</w:t>
      </w:r>
      <w:r>
        <w:rPr>
          <w:rFonts w:ascii="仿宋" w:hAnsi="仿宋" w:eastAsia="仿宋"/>
          <w:sz w:val="28"/>
          <w:szCs w:val="32"/>
        </w:rPr>
        <w:t>论文选题为</w:t>
      </w:r>
      <w:r>
        <w:rPr>
          <w:rFonts w:hint="eastAsia" w:ascii="仿宋" w:hAnsi="仿宋" w:eastAsia="仿宋"/>
          <w:sz w:val="28"/>
          <w:szCs w:val="32"/>
        </w:rPr>
        <w:t>激光雷达</w:t>
      </w:r>
      <w:r>
        <w:rPr>
          <w:rFonts w:ascii="仿宋" w:hAnsi="仿宋" w:eastAsia="仿宋"/>
          <w:sz w:val="28"/>
          <w:szCs w:val="32"/>
        </w:rPr>
        <w:t>学科前沿，具有开创性，并有重要的理论意义或现实意义；</w:t>
      </w:r>
    </w:p>
    <w:p>
      <w:pPr>
        <w:spacing w:line="480" w:lineRule="exact"/>
        <w:ind w:firstLine="560" w:firstLineChars="200"/>
        <w:rPr>
          <w:rFonts w:ascii="仿宋" w:hAnsi="仿宋" w:eastAsia="仿宋"/>
          <w:sz w:val="28"/>
          <w:szCs w:val="32"/>
        </w:rPr>
      </w:pPr>
      <w:r>
        <w:rPr>
          <w:rFonts w:hint="eastAsia" w:ascii="仿宋" w:hAnsi="仿宋" w:eastAsia="仿宋"/>
          <w:sz w:val="28"/>
          <w:szCs w:val="32"/>
        </w:rPr>
        <w:t>（2）</w:t>
      </w:r>
      <w:r>
        <w:rPr>
          <w:rFonts w:ascii="仿宋" w:hAnsi="仿宋" w:eastAsia="仿宋"/>
          <w:sz w:val="28"/>
          <w:szCs w:val="32"/>
        </w:rPr>
        <w:t>理论或方法上有创新，对该学科的科学研究</w:t>
      </w:r>
      <w:r>
        <w:rPr>
          <w:rFonts w:hint="eastAsia" w:ascii="仿宋" w:hAnsi="仿宋" w:eastAsia="仿宋"/>
          <w:sz w:val="28"/>
          <w:szCs w:val="32"/>
        </w:rPr>
        <w:t>有促进</w:t>
      </w:r>
      <w:r>
        <w:rPr>
          <w:rFonts w:ascii="仿宋" w:hAnsi="仿宋" w:eastAsia="仿宋"/>
          <w:sz w:val="28"/>
          <w:szCs w:val="32"/>
        </w:rPr>
        <w:t>作用；</w:t>
      </w:r>
    </w:p>
    <w:p>
      <w:pPr>
        <w:spacing w:line="480" w:lineRule="exact"/>
        <w:ind w:firstLine="560" w:firstLineChars="200"/>
        <w:rPr>
          <w:rFonts w:ascii="仿宋" w:hAnsi="仿宋" w:eastAsia="仿宋"/>
          <w:sz w:val="28"/>
          <w:szCs w:val="32"/>
        </w:rPr>
      </w:pPr>
      <w:r>
        <w:rPr>
          <w:rFonts w:hint="eastAsia" w:ascii="仿宋" w:hAnsi="仿宋" w:eastAsia="仿宋"/>
          <w:sz w:val="28"/>
          <w:szCs w:val="32"/>
        </w:rPr>
        <w:t>（3）</w:t>
      </w:r>
      <w:r>
        <w:rPr>
          <w:rFonts w:ascii="仿宋" w:hAnsi="仿宋" w:eastAsia="仿宋"/>
          <w:sz w:val="28"/>
          <w:szCs w:val="32"/>
        </w:rPr>
        <w:t>取得突破性成果，达到国内同类领域的领先水平或国际同类领域的先进水平，具有较好的社会效益或应用前景；</w:t>
      </w:r>
    </w:p>
    <w:p>
      <w:pPr>
        <w:spacing w:line="480" w:lineRule="exact"/>
        <w:ind w:firstLine="560" w:firstLineChars="200"/>
        <w:rPr>
          <w:rFonts w:ascii="仿宋" w:hAnsi="仿宋" w:eastAsia="仿宋"/>
          <w:sz w:val="28"/>
          <w:szCs w:val="32"/>
        </w:rPr>
      </w:pPr>
      <w:r>
        <w:rPr>
          <w:rFonts w:hint="eastAsia" w:ascii="仿宋" w:hAnsi="仿宋" w:eastAsia="仿宋"/>
          <w:sz w:val="28"/>
          <w:szCs w:val="32"/>
        </w:rPr>
        <w:t>（4）</w:t>
      </w:r>
      <w:r>
        <w:rPr>
          <w:rFonts w:ascii="仿宋" w:hAnsi="仿宋" w:eastAsia="仿宋"/>
          <w:sz w:val="28"/>
          <w:szCs w:val="32"/>
        </w:rPr>
        <w:t>论文符合各学科的学术规范、材料翔实、推理严密、文字表达准确，能突出反映论文作者学风严谨、具有很强的独立从事科学研究工作的能力</w:t>
      </w:r>
      <w:r>
        <w:rPr>
          <w:rFonts w:hint="eastAsia" w:ascii="仿宋" w:hAnsi="仿宋" w:eastAsia="仿宋"/>
          <w:sz w:val="28"/>
          <w:szCs w:val="32"/>
        </w:rPr>
        <w:t>。</w:t>
      </w:r>
    </w:p>
    <w:p>
      <w:pPr>
        <w:spacing w:line="480" w:lineRule="exact"/>
        <w:ind w:firstLine="560" w:firstLineChars="200"/>
        <w:rPr>
          <w:rFonts w:ascii="仿宋" w:hAnsi="仿宋" w:eastAsia="仿宋"/>
          <w:sz w:val="28"/>
          <w:szCs w:val="32"/>
        </w:rPr>
      </w:pPr>
      <w:r>
        <w:rPr>
          <w:rFonts w:hint="eastAsia" w:ascii="仿宋" w:hAnsi="仿宋" w:eastAsia="仿宋"/>
          <w:sz w:val="28"/>
          <w:szCs w:val="32"/>
        </w:rPr>
        <w:t>C</w:t>
      </w:r>
      <w:r>
        <w:rPr>
          <w:rFonts w:ascii="仿宋" w:hAnsi="仿宋" w:eastAsia="仿宋"/>
          <w:sz w:val="28"/>
          <w:szCs w:val="32"/>
        </w:rPr>
        <w:t>NISDE-L</w:t>
      </w:r>
      <w:r>
        <w:rPr>
          <w:rFonts w:hint="eastAsia" w:ascii="仿宋" w:hAnsi="仿宋" w:eastAsia="仿宋"/>
          <w:sz w:val="28"/>
          <w:szCs w:val="32"/>
        </w:rPr>
        <w:t>i</w:t>
      </w:r>
      <w:r>
        <w:rPr>
          <w:rFonts w:ascii="仿宋" w:hAnsi="仿宋" w:eastAsia="仿宋"/>
          <w:sz w:val="28"/>
          <w:szCs w:val="32"/>
        </w:rPr>
        <w:t>DAR</w:t>
      </w:r>
      <w:r>
        <w:rPr>
          <w:rFonts w:hint="eastAsia" w:ascii="仿宋" w:hAnsi="仿宋" w:eastAsia="仿宋"/>
          <w:sz w:val="28"/>
          <w:szCs w:val="32"/>
        </w:rPr>
        <w:t>优博奖的评定程序分为形式审查、初评、终评和结果公布四个阶段：</w:t>
      </w:r>
    </w:p>
    <w:p>
      <w:pPr>
        <w:spacing w:line="480" w:lineRule="exact"/>
        <w:ind w:firstLine="560" w:firstLineChars="200"/>
        <w:rPr>
          <w:rFonts w:ascii="仿宋" w:hAnsi="仿宋" w:eastAsia="仿宋"/>
          <w:sz w:val="28"/>
          <w:szCs w:val="32"/>
        </w:rPr>
      </w:pPr>
      <w:r>
        <w:rPr>
          <w:rFonts w:hint="eastAsia" w:ascii="仿宋" w:hAnsi="仿宋" w:eastAsia="仿宋"/>
          <w:sz w:val="28"/>
          <w:szCs w:val="32"/>
        </w:rPr>
        <w:t>（1）形式审查：由秘书处对推荐材料进行形式审查。经审查不符合规定的推荐材料，不予受理；</w:t>
      </w:r>
    </w:p>
    <w:p>
      <w:pPr>
        <w:spacing w:line="480" w:lineRule="exact"/>
        <w:ind w:firstLine="560" w:firstLineChars="200"/>
        <w:rPr>
          <w:rFonts w:ascii="仿宋" w:hAnsi="仿宋" w:eastAsia="仿宋"/>
          <w:sz w:val="28"/>
          <w:szCs w:val="32"/>
        </w:rPr>
      </w:pPr>
      <w:r>
        <w:rPr>
          <w:rFonts w:hint="eastAsia" w:ascii="仿宋" w:hAnsi="仿宋" w:eastAsia="仿宋"/>
          <w:sz w:val="28"/>
          <w:szCs w:val="32"/>
        </w:rPr>
        <w:t>（2）初评：由提名与奖励委员会组织专家以网评方式进行，每篇候选论文由不少于五名同行专家进行评议，提名与奖励委员会根据初评得分确定不超过1</w:t>
      </w:r>
      <w:r>
        <w:rPr>
          <w:rFonts w:ascii="仿宋" w:hAnsi="仿宋" w:eastAsia="仿宋"/>
          <w:sz w:val="28"/>
          <w:szCs w:val="32"/>
        </w:rPr>
        <w:t>5</w:t>
      </w:r>
      <w:r>
        <w:rPr>
          <w:rFonts w:hint="eastAsia" w:ascii="仿宋" w:hAnsi="仿宋" w:eastAsia="仿宋"/>
          <w:sz w:val="28"/>
          <w:szCs w:val="32"/>
        </w:rPr>
        <w:t>篇候选论文入围终评。</w:t>
      </w:r>
    </w:p>
    <w:p>
      <w:pPr>
        <w:spacing w:line="480" w:lineRule="exact"/>
        <w:ind w:firstLine="560" w:firstLineChars="200"/>
        <w:rPr>
          <w:rFonts w:ascii="仿宋" w:hAnsi="仿宋" w:eastAsia="仿宋"/>
          <w:sz w:val="28"/>
          <w:szCs w:val="32"/>
        </w:rPr>
      </w:pPr>
      <w:r>
        <w:rPr>
          <w:rFonts w:hint="eastAsia" w:ascii="仿宋" w:hAnsi="仿宋" w:eastAsia="仿宋"/>
          <w:sz w:val="28"/>
          <w:szCs w:val="32"/>
        </w:rPr>
        <w:t>（3）终评：由专委会组织专家进行会评，以无记名投票表决产生评审结果，前1</w:t>
      </w:r>
      <w:r>
        <w:rPr>
          <w:rFonts w:ascii="仿宋" w:hAnsi="仿宋" w:eastAsia="仿宋"/>
          <w:sz w:val="28"/>
          <w:szCs w:val="32"/>
        </w:rPr>
        <w:t>0</w:t>
      </w:r>
      <w:r>
        <w:rPr>
          <w:rFonts w:hint="eastAsia" w:ascii="仿宋" w:hAnsi="仿宋" w:eastAsia="仿宋"/>
          <w:sz w:val="28"/>
          <w:szCs w:val="32"/>
        </w:rPr>
        <w:t>名获C</w:t>
      </w:r>
      <w:r>
        <w:rPr>
          <w:rFonts w:ascii="仿宋" w:hAnsi="仿宋" w:eastAsia="仿宋"/>
          <w:sz w:val="28"/>
          <w:szCs w:val="32"/>
        </w:rPr>
        <w:t>NISDE-L</w:t>
      </w:r>
      <w:r>
        <w:rPr>
          <w:rFonts w:hint="eastAsia" w:ascii="仿宋" w:hAnsi="仿宋" w:eastAsia="仿宋"/>
          <w:sz w:val="28"/>
          <w:szCs w:val="32"/>
        </w:rPr>
        <w:t>i</w:t>
      </w:r>
      <w:r>
        <w:rPr>
          <w:rFonts w:ascii="仿宋" w:hAnsi="仿宋" w:eastAsia="仿宋"/>
          <w:sz w:val="28"/>
          <w:szCs w:val="32"/>
        </w:rPr>
        <w:t>DAR</w:t>
      </w:r>
      <w:r>
        <w:rPr>
          <w:rFonts w:hint="eastAsia" w:ascii="仿宋" w:hAnsi="仿宋" w:eastAsia="仿宋"/>
          <w:sz w:val="28"/>
          <w:szCs w:val="32"/>
        </w:rPr>
        <w:t>优博奖。</w:t>
      </w:r>
    </w:p>
    <w:p>
      <w:pPr>
        <w:spacing w:line="480" w:lineRule="exact"/>
        <w:ind w:firstLine="560" w:firstLineChars="200"/>
        <w:rPr>
          <w:rFonts w:ascii="仿宋" w:hAnsi="仿宋" w:eastAsia="仿宋"/>
          <w:sz w:val="28"/>
          <w:szCs w:val="32"/>
        </w:rPr>
      </w:pPr>
      <w:r>
        <w:rPr>
          <w:rFonts w:hint="eastAsia" w:ascii="仿宋" w:hAnsi="仿宋" w:eastAsia="仿宋"/>
          <w:sz w:val="28"/>
          <w:szCs w:val="32"/>
        </w:rPr>
        <w:t>（5）结果公布：终评结束后，在全国激光雷达大会或相关网站对终评结果进行公布。</w:t>
      </w:r>
    </w:p>
    <w:p>
      <w:pPr>
        <w:pStyle w:val="2"/>
        <w:spacing w:before="240"/>
      </w:pPr>
      <w:r>
        <w:rPr>
          <w:rFonts w:hint="eastAsia"/>
        </w:rPr>
        <w:t>第四章 授奖</w:t>
      </w:r>
    </w:p>
    <w:p>
      <w:pPr>
        <w:spacing w:line="480" w:lineRule="exact"/>
        <w:ind w:firstLine="560" w:firstLineChars="200"/>
        <w:rPr>
          <w:rFonts w:ascii="仿宋" w:hAnsi="仿宋" w:eastAsia="仿宋"/>
          <w:sz w:val="28"/>
          <w:szCs w:val="32"/>
        </w:rPr>
      </w:pPr>
      <w:r>
        <w:rPr>
          <w:rFonts w:hint="eastAsia" w:ascii="仿宋" w:hAnsi="仿宋" w:eastAsia="仿宋"/>
          <w:sz w:val="28"/>
          <w:szCs w:val="32"/>
        </w:rPr>
        <w:t>C</w:t>
      </w:r>
      <w:r>
        <w:rPr>
          <w:rFonts w:ascii="仿宋" w:hAnsi="仿宋" w:eastAsia="仿宋"/>
          <w:sz w:val="28"/>
          <w:szCs w:val="32"/>
        </w:rPr>
        <w:t>NISDE-L</w:t>
      </w:r>
      <w:r>
        <w:rPr>
          <w:rFonts w:hint="eastAsia" w:ascii="仿宋" w:hAnsi="仿宋" w:eastAsia="仿宋"/>
          <w:sz w:val="28"/>
          <w:szCs w:val="32"/>
        </w:rPr>
        <w:t>i</w:t>
      </w:r>
      <w:r>
        <w:rPr>
          <w:rFonts w:ascii="仿宋" w:hAnsi="仿宋" w:eastAsia="仿宋"/>
          <w:sz w:val="28"/>
          <w:szCs w:val="32"/>
        </w:rPr>
        <w:t>DAR</w:t>
      </w:r>
      <w:r>
        <w:rPr>
          <w:rFonts w:hint="eastAsia" w:ascii="仿宋" w:hAnsi="仿宋" w:eastAsia="仿宋"/>
          <w:sz w:val="28"/>
          <w:szCs w:val="32"/>
        </w:rPr>
        <w:t>优博奖每两年评选一次，每次授奖数量不超过</w:t>
      </w:r>
      <w:r>
        <w:rPr>
          <w:rFonts w:ascii="仿宋" w:hAnsi="仿宋" w:eastAsia="仿宋"/>
          <w:sz w:val="28"/>
          <w:szCs w:val="32"/>
        </w:rPr>
        <w:t>10</w:t>
      </w:r>
      <w:r>
        <w:rPr>
          <w:rFonts w:hint="eastAsia" w:ascii="仿宋" w:hAnsi="仿宋" w:eastAsia="仿宋"/>
          <w:sz w:val="28"/>
          <w:szCs w:val="32"/>
        </w:rPr>
        <w:t>篇。专委会将向C</w:t>
      </w:r>
      <w:r>
        <w:rPr>
          <w:rFonts w:ascii="仿宋" w:hAnsi="仿宋" w:eastAsia="仿宋"/>
          <w:sz w:val="28"/>
          <w:szCs w:val="32"/>
        </w:rPr>
        <w:t>NISDE-L</w:t>
      </w:r>
      <w:r>
        <w:rPr>
          <w:rFonts w:hint="eastAsia" w:ascii="仿宋" w:hAnsi="仿宋" w:eastAsia="仿宋"/>
          <w:sz w:val="28"/>
          <w:szCs w:val="32"/>
        </w:rPr>
        <w:t>i</w:t>
      </w:r>
      <w:r>
        <w:rPr>
          <w:rFonts w:ascii="仿宋" w:hAnsi="仿宋" w:eastAsia="仿宋"/>
          <w:sz w:val="28"/>
          <w:szCs w:val="32"/>
        </w:rPr>
        <w:t>DAR</w:t>
      </w:r>
      <w:r>
        <w:rPr>
          <w:rFonts w:hint="eastAsia" w:ascii="仿宋" w:hAnsi="仿宋" w:eastAsia="仿宋"/>
          <w:sz w:val="28"/>
          <w:szCs w:val="32"/>
        </w:rPr>
        <w:t>优博奖获得者颁发获奖证书；对获得优博作者的指导教师授予“优秀导师”称号，并颁发荣誉证书。</w:t>
      </w:r>
    </w:p>
    <w:p>
      <w:pPr>
        <w:pStyle w:val="2"/>
        <w:spacing w:before="240"/>
      </w:pPr>
      <w:r>
        <w:rPr>
          <w:rFonts w:hint="eastAsia"/>
        </w:rPr>
        <w:t>第五章 附则</w:t>
      </w:r>
    </w:p>
    <w:p>
      <w:pPr>
        <w:spacing w:line="480" w:lineRule="exact"/>
        <w:ind w:firstLine="560" w:firstLineChars="200"/>
        <w:rPr>
          <w:rFonts w:ascii="仿宋" w:hAnsi="仿宋" w:eastAsia="仿宋"/>
          <w:sz w:val="28"/>
          <w:szCs w:val="32"/>
        </w:rPr>
      </w:pPr>
      <w:r>
        <w:rPr>
          <w:rFonts w:hint="eastAsia" w:ascii="仿宋" w:hAnsi="仿宋" w:eastAsia="仿宋"/>
          <w:sz w:val="28"/>
          <w:szCs w:val="32"/>
        </w:rPr>
        <w:t>本条例由国际数字地球学会中国国家委员会激光雷达专业委员会负责解释。</w:t>
      </w:r>
    </w:p>
    <w:p>
      <w:pPr>
        <w:spacing w:line="480" w:lineRule="exact"/>
        <w:ind w:firstLine="560" w:firstLineChars="200"/>
        <w:rPr>
          <w:rFonts w:ascii="仿宋" w:hAnsi="仿宋" w:eastAsia="仿宋"/>
          <w:sz w:val="28"/>
          <w:szCs w:val="32"/>
        </w:rPr>
      </w:pPr>
    </w:p>
    <w:p>
      <w:pPr>
        <w:spacing w:line="480" w:lineRule="exact"/>
        <w:ind w:firstLine="560" w:firstLineChars="200"/>
        <w:rPr>
          <w:rFonts w:ascii="仿宋" w:hAnsi="仿宋" w:eastAsia="仿宋"/>
          <w:sz w:val="28"/>
          <w:szCs w:val="32"/>
        </w:rPr>
      </w:pPr>
    </w:p>
    <w:p>
      <w:pPr>
        <w:spacing w:line="360" w:lineRule="auto"/>
        <w:ind w:firstLine="560" w:firstLineChars="200"/>
        <w:jc w:val="right"/>
        <w:rPr>
          <w:rFonts w:ascii="仿宋" w:hAnsi="仿宋" w:eastAsia="仿宋"/>
          <w:sz w:val="28"/>
          <w:szCs w:val="32"/>
        </w:rPr>
      </w:pPr>
      <w:r>
        <w:rPr>
          <w:rFonts w:ascii="仿宋" w:hAnsi="仿宋" w:eastAsia="仿宋"/>
          <w:sz w:val="28"/>
          <w:szCs w:val="32"/>
        </w:rPr>
        <w:fldChar w:fldCharType="begin"/>
      </w:r>
      <w:r>
        <w:rPr>
          <w:rFonts w:ascii="仿宋" w:hAnsi="仿宋" w:eastAsia="仿宋"/>
          <w:sz w:val="28"/>
          <w:szCs w:val="32"/>
        </w:rPr>
        <w:instrText xml:space="preserve"> </w:instrText>
      </w:r>
      <w:r>
        <w:rPr>
          <w:rFonts w:hint="eastAsia" w:ascii="仿宋" w:hAnsi="仿宋" w:eastAsia="仿宋"/>
          <w:sz w:val="28"/>
          <w:szCs w:val="32"/>
        </w:rPr>
        <w:instrText xml:space="preserve">TIME \@ "yyyy'年'M'月'd'日'"</w:instrText>
      </w:r>
      <w:r>
        <w:rPr>
          <w:rFonts w:ascii="仿宋" w:hAnsi="仿宋" w:eastAsia="仿宋"/>
          <w:sz w:val="28"/>
          <w:szCs w:val="32"/>
        </w:rPr>
        <w:instrText xml:space="preserve"> </w:instrText>
      </w:r>
      <w:r>
        <w:rPr>
          <w:rFonts w:ascii="仿宋" w:hAnsi="仿宋" w:eastAsia="仿宋"/>
          <w:sz w:val="28"/>
          <w:szCs w:val="32"/>
        </w:rPr>
        <w:fldChar w:fldCharType="separate"/>
      </w:r>
      <w:r>
        <w:rPr>
          <w:rFonts w:hint="eastAsia" w:ascii="仿宋" w:hAnsi="仿宋" w:eastAsia="仿宋"/>
          <w:sz w:val="28"/>
          <w:szCs w:val="32"/>
        </w:rPr>
        <w:t>2022年9月28日</w:t>
      </w:r>
      <w:r>
        <w:rPr>
          <w:rFonts w:ascii="仿宋" w:hAnsi="仿宋" w:eastAsia="仿宋"/>
          <w:sz w:val="28"/>
          <w:szCs w:val="32"/>
        </w:rPr>
        <w:fldChar w:fldCharType="end"/>
      </w:r>
    </w:p>
    <w:sectPr>
      <w:pgSz w:w="11906" w:h="16838"/>
      <w:pgMar w:top="1134"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等线 Light">
    <w:panose1 w:val="02010600030101010101"/>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44B7"/>
    <w:rsid w:val="000A2020"/>
    <w:rsid w:val="001A0BB1"/>
    <w:rsid w:val="001C71FD"/>
    <w:rsid w:val="00261F09"/>
    <w:rsid w:val="002937A0"/>
    <w:rsid w:val="002D7BCE"/>
    <w:rsid w:val="00303B45"/>
    <w:rsid w:val="00326DDE"/>
    <w:rsid w:val="00344014"/>
    <w:rsid w:val="0044191E"/>
    <w:rsid w:val="004607D6"/>
    <w:rsid w:val="00592AC4"/>
    <w:rsid w:val="005C0D49"/>
    <w:rsid w:val="005C54D9"/>
    <w:rsid w:val="006859EA"/>
    <w:rsid w:val="00691309"/>
    <w:rsid w:val="006C2DA9"/>
    <w:rsid w:val="00707DAB"/>
    <w:rsid w:val="00734DBB"/>
    <w:rsid w:val="00761100"/>
    <w:rsid w:val="007A6B7C"/>
    <w:rsid w:val="008153CC"/>
    <w:rsid w:val="00817675"/>
    <w:rsid w:val="0086394A"/>
    <w:rsid w:val="008A4B6F"/>
    <w:rsid w:val="008E263E"/>
    <w:rsid w:val="009622D5"/>
    <w:rsid w:val="009B5375"/>
    <w:rsid w:val="009C327C"/>
    <w:rsid w:val="009F44B7"/>
    <w:rsid w:val="00AC6CFD"/>
    <w:rsid w:val="00AE464F"/>
    <w:rsid w:val="00B170FD"/>
    <w:rsid w:val="00BA3354"/>
    <w:rsid w:val="00BD083E"/>
    <w:rsid w:val="00BD301E"/>
    <w:rsid w:val="00C00ED0"/>
    <w:rsid w:val="00CD600B"/>
    <w:rsid w:val="00DC151B"/>
    <w:rsid w:val="00EF3AA1"/>
    <w:rsid w:val="00F03B92"/>
    <w:rsid w:val="00F6780C"/>
    <w:rsid w:val="00F8241A"/>
    <w:rsid w:val="00FF43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4"/>
    <w:qFormat/>
    <w:uiPriority w:val="9"/>
    <w:pPr>
      <w:spacing w:line="360" w:lineRule="auto"/>
      <w:jc w:val="center"/>
      <w:outlineLvl w:val="0"/>
    </w:pPr>
    <w:rPr>
      <w:rFonts w:ascii="仿宋" w:hAnsi="仿宋" w:eastAsia="仿宋"/>
      <w:b/>
      <w:bCs/>
      <w:sz w:val="28"/>
      <w:szCs w:val="32"/>
    </w:rPr>
  </w:style>
  <w:style w:type="character" w:default="1" w:styleId="10">
    <w:name w:val="Default Paragraph Font"/>
    <w:semiHidden/>
    <w:unhideWhenUsed/>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3">
    <w:name w:val="annotation text"/>
    <w:basedOn w:val="1"/>
    <w:link w:val="17"/>
    <w:semiHidden/>
    <w:unhideWhenUsed/>
    <w:uiPriority w:val="99"/>
    <w:pPr>
      <w:jc w:val="left"/>
    </w:pPr>
  </w:style>
  <w:style w:type="paragraph" w:styleId="4">
    <w:name w:val="Balloon Text"/>
    <w:basedOn w:val="1"/>
    <w:link w:val="19"/>
    <w:semiHidden/>
    <w:unhideWhenUsed/>
    <w:uiPriority w:val="99"/>
    <w:rPr>
      <w:sz w:val="18"/>
      <w:szCs w:val="18"/>
    </w:rPr>
  </w:style>
  <w:style w:type="paragraph" w:styleId="5">
    <w:name w:val="footer"/>
    <w:basedOn w:val="1"/>
    <w:link w:val="16"/>
    <w:unhideWhenUsed/>
    <w:uiPriority w:val="99"/>
    <w:pPr>
      <w:tabs>
        <w:tab w:val="center" w:pos="4153"/>
        <w:tab w:val="right" w:pos="8306"/>
      </w:tabs>
      <w:snapToGrid w:val="0"/>
      <w:jc w:val="left"/>
    </w:pPr>
    <w:rPr>
      <w:sz w:val="18"/>
      <w:szCs w:val="18"/>
    </w:rPr>
  </w:style>
  <w:style w:type="paragraph" w:styleId="6">
    <w:name w:val="header"/>
    <w:basedOn w:val="1"/>
    <w:link w:val="15"/>
    <w:unhideWhenUsed/>
    <w:uiPriority w:val="99"/>
    <w:pPr>
      <w:pBdr>
        <w:bottom w:val="single" w:color="auto" w:sz="6" w:space="1"/>
      </w:pBdr>
      <w:tabs>
        <w:tab w:val="center" w:pos="4153"/>
        <w:tab w:val="right" w:pos="8306"/>
      </w:tabs>
      <w:snapToGrid w:val="0"/>
      <w:jc w:val="center"/>
    </w:pPr>
    <w:rPr>
      <w:sz w:val="18"/>
      <w:szCs w:val="18"/>
    </w:rPr>
  </w:style>
  <w:style w:type="paragraph" w:styleId="7">
    <w:name w:val="Title"/>
    <w:basedOn w:val="1"/>
    <w:next w:val="1"/>
    <w:link w:val="13"/>
    <w:qFormat/>
    <w:uiPriority w:val="10"/>
    <w:pPr>
      <w:spacing w:before="240" w:after="60"/>
      <w:jc w:val="center"/>
      <w:outlineLvl w:val="0"/>
    </w:pPr>
    <w:rPr>
      <w:rFonts w:asciiTheme="majorHAnsi" w:hAnsiTheme="majorHAnsi" w:eastAsiaTheme="majorEastAsia" w:cstheme="majorBidi"/>
      <w:b/>
      <w:bCs/>
      <w:sz w:val="32"/>
      <w:szCs w:val="32"/>
    </w:rPr>
  </w:style>
  <w:style w:type="paragraph" w:styleId="8">
    <w:name w:val="annotation subject"/>
    <w:basedOn w:val="3"/>
    <w:next w:val="3"/>
    <w:link w:val="18"/>
    <w:semiHidden/>
    <w:unhideWhenUsed/>
    <w:uiPriority w:val="99"/>
    <w:rPr>
      <w:b/>
      <w:bCs/>
    </w:rPr>
  </w:style>
  <w:style w:type="character" w:styleId="11">
    <w:name w:val="annotation reference"/>
    <w:basedOn w:val="10"/>
    <w:semiHidden/>
    <w:unhideWhenUsed/>
    <w:uiPriority w:val="99"/>
    <w:rPr>
      <w:sz w:val="21"/>
      <w:szCs w:val="21"/>
    </w:rPr>
  </w:style>
  <w:style w:type="paragraph" w:styleId="12">
    <w:name w:val="List Paragraph"/>
    <w:basedOn w:val="1"/>
    <w:qFormat/>
    <w:uiPriority w:val="34"/>
    <w:pPr>
      <w:ind w:firstLine="420" w:firstLineChars="200"/>
    </w:pPr>
  </w:style>
  <w:style w:type="character" w:customStyle="1" w:styleId="13">
    <w:name w:val="标题 字符"/>
    <w:basedOn w:val="10"/>
    <w:link w:val="7"/>
    <w:uiPriority w:val="10"/>
    <w:rPr>
      <w:rFonts w:asciiTheme="majorHAnsi" w:hAnsiTheme="majorHAnsi" w:eastAsiaTheme="majorEastAsia" w:cstheme="majorBidi"/>
      <w:b/>
      <w:bCs/>
      <w:sz w:val="32"/>
      <w:szCs w:val="32"/>
    </w:rPr>
  </w:style>
  <w:style w:type="character" w:customStyle="1" w:styleId="14">
    <w:name w:val="标题 1 字符"/>
    <w:basedOn w:val="10"/>
    <w:link w:val="2"/>
    <w:uiPriority w:val="9"/>
    <w:rPr>
      <w:rFonts w:ascii="仿宋" w:hAnsi="仿宋" w:eastAsia="仿宋"/>
      <w:b/>
      <w:bCs/>
      <w:sz w:val="28"/>
      <w:szCs w:val="32"/>
    </w:rPr>
  </w:style>
  <w:style w:type="character" w:customStyle="1" w:styleId="15">
    <w:name w:val="页眉 字符"/>
    <w:basedOn w:val="10"/>
    <w:link w:val="6"/>
    <w:uiPriority w:val="99"/>
    <w:rPr>
      <w:sz w:val="18"/>
      <w:szCs w:val="18"/>
    </w:rPr>
  </w:style>
  <w:style w:type="character" w:customStyle="1" w:styleId="16">
    <w:name w:val="页脚 字符"/>
    <w:basedOn w:val="10"/>
    <w:link w:val="5"/>
    <w:uiPriority w:val="99"/>
    <w:rPr>
      <w:sz w:val="18"/>
      <w:szCs w:val="18"/>
    </w:rPr>
  </w:style>
  <w:style w:type="character" w:customStyle="1" w:styleId="17">
    <w:name w:val="批注文字 字符"/>
    <w:basedOn w:val="10"/>
    <w:link w:val="3"/>
    <w:semiHidden/>
    <w:uiPriority w:val="99"/>
  </w:style>
  <w:style w:type="character" w:customStyle="1" w:styleId="18">
    <w:name w:val="批注主题 字符"/>
    <w:basedOn w:val="17"/>
    <w:link w:val="8"/>
    <w:semiHidden/>
    <w:uiPriority w:val="99"/>
    <w:rPr>
      <w:b/>
      <w:bCs/>
    </w:rPr>
  </w:style>
  <w:style w:type="character" w:customStyle="1" w:styleId="19">
    <w:name w:val="批注框文本 字符"/>
    <w:basedOn w:val="10"/>
    <w:link w:val="4"/>
    <w:semiHidden/>
    <w:uiPriority w:val="99"/>
    <w:rPr>
      <w:sz w:val="18"/>
      <w:szCs w:val="18"/>
    </w:rPr>
  </w:style>
  <w:style w:type="paragraph" w:customStyle="1" w:styleId="20">
    <w:name w:val="Revision"/>
    <w:hidden/>
    <w:semiHidden/>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1015</Words>
  <Characters>1132</Characters>
  <Lines>8</Lines>
  <Paragraphs>2</Paragraphs>
  <TotalTime>2</TotalTime>
  <ScaleCrop>false</ScaleCrop>
  <LinksUpToDate>false</LinksUpToDate>
  <CharactersWithSpaces>1137</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2022-09-27T10:16:00Z</dcterms:created>
  <dc:creator>杨学博</dc:creator>
  <cp:lastModifiedBy>奔奔</cp:lastModifiedBy>
  <dcterms:modified xsi:type="dcterms:W3CDTF">2022-09-27T23:32:47Z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E27E738AA7EC49D98508D02EC5D9ED0A</vt:lpwstr>
  </property>
</Properties>
</file>